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3E" w:rsidRDefault="00993B3E" w:rsidP="00993B3E">
      <w:pPr>
        <w:spacing w:line="220" w:lineRule="atLeast"/>
      </w:pPr>
      <w:r>
        <w:t>Type 410 Stainless Steel</w:t>
      </w:r>
    </w:p>
    <w:p w:rsidR="00993B3E" w:rsidRDefault="00993B3E" w:rsidP="00993B3E">
      <w:pPr>
        <w:spacing w:line="220" w:lineRule="atLeast"/>
      </w:pPr>
    </w:p>
    <w:p w:rsidR="00993B3E" w:rsidRDefault="00993B3E" w:rsidP="00993B3E">
      <w:pPr>
        <w:spacing w:line="220" w:lineRule="atLeast"/>
      </w:pPr>
      <w:r>
        <w:t xml:space="preserve">1.Stainless Steel Plate </w:t>
      </w:r>
    </w:p>
    <w:p w:rsidR="00993B3E" w:rsidRDefault="00993B3E" w:rsidP="00993B3E">
      <w:pPr>
        <w:spacing w:line="220" w:lineRule="atLeast"/>
      </w:pPr>
      <w:r>
        <w:t xml:space="preserve">Type 304 | Type 304L | Type 304H | Type 316 | Type 316L | Type 316H | Type 321 | Type 347 </w:t>
      </w:r>
    </w:p>
    <w:p w:rsidR="00993B3E" w:rsidRDefault="00993B3E" w:rsidP="00993B3E">
      <w:pPr>
        <w:spacing w:line="220" w:lineRule="atLeast"/>
      </w:pPr>
      <w:r>
        <w:t>Type 410 | UNS S32205 Duplex | UNS S32750 Super Duplex | UNS S32760 Super Duplex</w:t>
      </w:r>
    </w:p>
    <w:p w:rsidR="00993B3E" w:rsidRDefault="00993B3E" w:rsidP="00993B3E">
      <w:pPr>
        <w:spacing w:line="220" w:lineRule="atLeast"/>
      </w:pPr>
    </w:p>
    <w:p w:rsidR="00993B3E" w:rsidRDefault="00993B3E" w:rsidP="00993B3E">
      <w:pPr>
        <w:spacing w:line="220" w:lineRule="atLeast"/>
      </w:pPr>
      <w:r>
        <w:t xml:space="preserve">2.As a martens tic stainless steel, Type 410 can be heat treated under the quenched and tempered method. 410 stainless steel is a harden able martens tic stainless steel alloy. Unlike austenitic grades it can be heat treated ("quench and temper") to generate high strength with good ductility. 410 alloy is required when strength, hardness and wear resistance is required with some corrosion resistance. </w:t>
      </w:r>
    </w:p>
    <w:p w:rsidR="00993B3E" w:rsidRDefault="00993B3E" w:rsidP="00993B3E">
      <w:pPr>
        <w:spacing w:line="220" w:lineRule="atLeast"/>
      </w:pPr>
    </w:p>
    <w:p w:rsidR="00993B3E" w:rsidRDefault="00993B3E" w:rsidP="00993B3E">
      <w:pPr>
        <w:spacing w:line="220" w:lineRule="atLeast"/>
      </w:pPr>
      <w:r>
        <w:t xml:space="preserve">3.Due to the hardening capabilities of this steel, other properties and the resulting performance of this material are somewhat compromised. The alloy can only effectively be used in mildly corrosive environments. The operating temperature range is limited a) a loss of strength by over tempering at elevated temperatures and b) a loss of ductility at sub-zero temperatures. </w:t>
      </w:r>
    </w:p>
    <w:p w:rsidR="00993B3E" w:rsidRDefault="00993B3E" w:rsidP="00993B3E">
      <w:pPr>
        <w:spacing w:line="220" w:lineRule="atLeast"/>
      </w:pPr>
    </w:p>
    <w:p w:rsidR="00993B3E" w:rsidRDefault="00993B3E" w:rsidP="00993B3E">
      <w:pPr>
        <w:spacing w:line="220" w:lineRule="atLeast"/>
        <w:rPr>
          <w:rFonts w:hint="eastAsia"/>
        </w:rPr>
      </w:pPr>
    </w:p>
    <w:p w:rsidR="00993B3E" w:rsidRDefault="00993B3E" w:rsidP="00993B3E">
      <w:pPr>
        <w:spacing w:line="220" w:lineRule="atLeast"/>
      </w:pPr>
      <w:r>
        <w:t xml:space="preserve">4.Type 410 is officially a stainless steel but characteristically the material is actually a compromise of high carbon steel alloy (which promotes wear resistance) with chromium stainless steel (which promotes corrosion resistance). </w:t>
      </w:r>
    </w:p>
    <w:p w:rsidR="00993B3E" w:rsidRDefault="00993B3E" w:rsidP="00993B3E">
      <w:pPr>
        <w:spacing w:line="220" w:lineRule="atLeast"/>
      </w:pPr>
    </w:p>
    <w:p w:rsidR="00993B3E" w:rsidRDefault="00993B3E" w:rsidP="00993B3E">
      <w:pPr>
        <w:spacing w:line="220" w:lineRule="atLeast"/>
      </w:pPr>
      <w:r>
        <w:t xml:space="preserve">5.This steel is ideal for use in the manufacture of highly stressed parts found in a variety of industries including petrochemical, automotive and power generation. </w:t>
      </w:r>
    </w:p>
    <w:p w:rsidR="00993B3E" w:rsidRDefault="00993B3E" w:rsidP="00993B3E">
      <w:pPr>
        <w:spacing w:line="220" w:lineRule="atLeast"/>
      </w:pPr>
    </w:p>
    <w:p w:rsidR="00993B3E" w:rsidRDefault="00993B3E" w:rsidP="00993B3E">
      <w:pPr>
        <w:spacing w:line="220" w:lineRule="atLeast"/>
        <w:rPr>
          <w:rFonts w:hint="eastAsia"/>
        </w:rPr>
      </w:pPr>
    </w:p>
    <w:p w:rsidR="00993B3E" w:rsidRDefault="00993B3E" w:rsidP="00993B3E">
      <w:pPr>
        <w:spacing w:line="220" w:lineRule="atLeast"/>
        <w:rPr>
          <w:rFonts w:hint="eastAsia"/>
        </w:rPr>
      </w:pPr>
      <w:r>
        <w:t>6.Chemical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886"/>
        <w:gridCol w:w="721"/>
        <w:gridCol w:w="1108"/>
        <w:gridCol w:w="575"/>
        <w:gridCol w:w="575"/>
        <w:gridCol w:w="700"/>
        <w:gridCol w:w="700"/>
        <w:gridCol w:w="1108"/>
        <w:gridCol w:w="414"/>
        <w:gridCol w:w="575"/>
        <w:gridCol w:w="379"/>
        <w:gridCol w:w="685"/>
      </w:tblGrid>
      <w:tr w:rsidR="00993B3E" w:rsidRPr="00993B3E" w:rsidTr="00993B3E">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UNS No</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Grade</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C</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Si</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proofErr w:type="spellStart"/>
            <w:r w:rsidRPr="00993B3E">
              <w:rPr>
                <w:rFonts w:ascii="Verdana" w:eastAsia="宋体" w:hAnsi="Verdana" w:cs="宋体"/>
                <w:sz w:val="18"/>
                <w:szCs w:val="18"/>
              </w:rPr>
              <w:t>Mn</w:t>
            </w:r>
            <w:proofErr w:type="spellEnd"/>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P</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S</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Cr</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Mo</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Ni</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N</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Other</w:t>
            </w:r>
          </w:p>
        </w:tc>
      </w:tr>
      <w:tr w:rsidR="00993B3E" w:rsidRPr="00993B3E" w:rsidTr="00993B3E">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S41000</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410</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0.08/0.15</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1.00</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1.50</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0.040</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11.5/13.5</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0.75</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w:t>
            </w:r>
          </w:p>
        </w:tc>
      </w:tr>
    </w:tbl>
    <w:p w:rsidR="00993B3E" w:rsidRDefault="00993B3E" w:rsidP="00993B3E">
      <w:pPr>
        <w:spacing w:line="220" w:lineRule="atLeast"/>
      </w:pPr>
    </w:p>
    <w:p w:rsidR="00993B3E" w:rsidRDefault="00993B3E" w:rsidP="00993B3E">
      <w:pPr>
        <w:spacing w:line="220" w:lineRule="atLeast"/>
      </w:pPr>
    </w:p>
    <w:p w:rsidR="00993B3E" w:rsidRDefault="00993B3E" w:rsidP="00993B3E">
      <w:pPr>
        <w:spacing w:line="220" w:lineRule="atLeast"/>
      </w:pPr>
      <w:r>
        <w:t>7.Mechanical Properties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993"/>
        <w:gridCol w:w="808"/>
        <w:gridCol w:w="1479"/>
        <w:gridCol w:w="1952"/>
        <w:gridCol w:w="1303"/>
        <w:gridCol w:w="906"/>
        <w:gridCol w:w="985"/>
      </w:tblGrid>
      <w:tr w:rsidR="00993B3E" w:rsidRPr="00993B3E" w:rsidTr="00993B3E">
        <w:tc>
          <w:tcPr>
            <w:tcW w:w="0" w:type="auto"/>
            <w:vMerge w:val="restart"/>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UNS No</w:t>
            </w:r>
          </w:p>
        </w:tc>
        <w:tc>
          <w:tcPr>
            <w:tcW w:w="0" w:type="auto"/>
            <w:vMerge w:val="restart"/>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Grade</w:t>
            </w:r>
          </w:p>
        </w:tc>
        <w:tc>
          <w:tcPr>
            <w:tcW w:w="0" w:type="auto"/>
            <w:vMerge w:val="restart"/>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Proof Stress</w:t>
            </w:r>
            <w:r w:rsidRPr="00993B3E">
              <w:rPr>
                <w:rFonts w:ascii="Verdana" w:eastAsia="宋体" w:hAnsi="Verdana" w:cs="宋体"/>
                <w:sz w:val="18"/>
                <w:szCs w:val="18"/>
              </w:rPr>
              <w:br/>
            </w:r>
            <w:r w:rsidRPr="00993B3E">
              <w:rPr>
                <w:rFonts w:ascii="Verdana" w:eastAsia="宋体" w:hAnsi="Verdana" w:cs="宋体"/>
                <w:sz w:val="18"/>
                <w:szCs w:val="18"/>
              </w:rPr>
              <w:lastRenderedPageBreak/>
              <w:t>0.2% (</w:t>
            </w:r>
            <w:proofErr w:type="spellStart"/>
            <w:r w:rsidRPr="00993B3E">
              <w:rPr>
                <w:rFonts w:ascii="Verdana" w:eastAsia="宋体" w:hAnsi="Verdana" w:cs="宋体"/>
                <w:sz w:val="18"/>
                <w:szCs w:val="18"/>
              </w:rPr>
              <w:t>MPa</w:t>
            </w:r>
            <w:proofErr w:type="spellEnd"/>
            <w:r w:rsidRPr="00993B3E">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lastRenderedPageBreak/>
              <w:t>Tensile Strength</w:t>
            </w:r>
            <w:r w:rsidRPr="00993B3E">
              <w:rPr>
                <w:rFonts w:ascii="Verdana" w:eastAsia="宋体" w:hAnsi="Verdana" w:cs="宋体"/>
                <w:sz w:val="18"/>
                <w:szCs w:val="18"/>
              </w:rPr>
              <w:br/>
            </w:r>
            <w:r w:rsidRPr="00993B3E">
              <w:rPr>
                <w:rFonts w:ascii="Verdana" w:eastAsia="宋体" w:hAnsi="Verdana" w:cs="宋体"/>
                <w:sz w:val="18"/>
                <w:szCs w:val="18"/>
              </w:rPr>
              <w:lastRenderedPageBreak/>
              <w:t>(</w:t>
            </w:r>
            <w:proofErr w:type="spellStart"/>
            <w:r w:rsidRPr="00993B3E">
              <w:rPr>
                <w:rFonts w:ascii="Verdana" w:eastAsia="宋体" w:hAnsi="Verdana" w:cs="宋体"/>
                <w:sz w:val="18"/>
                <w:szCs w:val="18"/>
              </w:rPr>
              <w:t>MPa</w:t>
            </w:r>
            <w:proofErr w:type="spellEnd"/>
            <w:r w:rsidRPr="00993B3E">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lastRenderedPageBreak/>
              <w:t>Elongation</w:t>
            </w:r>
            <w:r w:rsidRPr="00993B3E">
              <w:rPr>
                <w:rFonts w:ascii="Verdana" w:eastAsia="宋体" w:hAnsi="Verdana" w:cs="宋体"/>
                <w:sz w:val="18"/>
                <w:szCs w:val="18"/>
              </w:rPr>
              <w:br/>
            </w:r>
            <w:r w:rsidRPr="00993B3E">
              <w:rPr>
                <w:rFonts w:ascii="Verdana" w:eastAsia="宋体" w:hAnsi="Verdana" w:cs="宋体"/>
                <w:sz w:val="18"/>
                <w:szCs w:val="18"/>
              </w:rPr>
              <w:lastRenderedPageBreak/>
              <w:t>A5 (%)</w:t>
            </w:r>
          </w:p>
        </w:tc>
        <w:tc>
          <w:tcPr>
            <w:tcW w:w="0" w:type="auto"/>
            <w:gridSpan w:val="2"/>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lastRenderedPageBreak/>
              <w:t>Hardness (Max)</w:t>
            </w:r>
          </w:p>
        </w:tc>
      </w:tr>
      <w:tr w:rsidR="00993B3E" w:rsidRPr="00993B3E" w:rsidTr="00993B3E">
        <w:tc>
          <w:tcPr>
            <w:tcW w:w="0" w:type="auto"/>
            <w:vMerge/>
            <w:shd w:val="clear" w:color="auto" w:fill="FFFFFF" w:themeFill="background1"/>
            <w:vAlign w:val="center"/>
            <w:hideMark/>
          </w:tcPr>
          <w:p w:rsidR="00993B3E" w:rsidRPr="00993B3E" w:rsidRDefault="00993B3E" w:rsidP="00993B3E">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993B3E" w:rsidRPr="00993B3E" w:rsidRDefault="00993B3E" w:rsidP="00993B3E">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993B3E" w:rsidRPr="00993B3E" w:rsidRDefault="00993B3E" w:rsidP="00993B3E">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993B3E" w:rsidRPr="00993B3E" w:rsidRDefault="00993B3E" w:rsidP="00993B3E">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993B3E" w:rsidRPr="00993B3E" w:rsidRDefault="00993B3E" w:rsidP="00993B3E">
            <w:pPr>
              <w:adjustRightInd/>
              <w:snapToGrid/>
              <w:spacing w:after="0"/>
              <w:rPr>
                <w:rFonts w:ascii="Verdana" w:eastAsia="宋体" w:hAnsi="Verdana" w:cs="宋体"/>
                <w:sz w:val="18"/>
                <w:szCs w:val="18"/>
              </w:rPr>
            </w:pP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HB</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HRB</w:t>
            </w:r>
          </w:p>
        </w:tc>
      </w:tr>
      <w:tr w:rsidR="00993B3E" w:rsidRPr="00993B3E" w:rsidTr="00993B3E">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lastRenderedPageBreak/>
              <w:t>S41000</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410</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205</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450</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20</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217</w:t>
            </w:r>
          </w:p>
        </w:tc>
        <w:tc>
          <w:tcPr>
            <w:tcW w:w="0" w:type="auto"/>
            <w:shd w:val="clear" w:color="auto" w:fill="FFFFFF" w:themeFill="background1"/>
            <w:tcMar>
              <w:top w:w="60" w:type="dxa"/>
              <w:left w:w="60" w:type="dxa"/>
              <w:bottom w:w="60" w:type="dxa"/>
              <w:right w:w="60" w:type="dxa"/>
            </w:tcMar>
            <w:hideMark/>
          </w:tcPr>
          <w:p w:rsidR="00993B3E" w:rsidRPr="00993B3E" w:rsidRDefault="00993B3E" w:rsidP="00993B3E">
            <w:pPr>
              <w:adjustRightInd/>
              <w:snapToGrid/>
              <w:spacing w:after="0"/>
              <w:rPr>
                <w:rFonts w:ascii="Verdana" w:eastAsia="宋体" w:hAnsi="Verdana" w:cs="宋体"/>
                <w:sz w:val="18"/>
                <w:szCs w:val="18"/>
              </w:rPr>
            </w:pPr>
            <w:r w:rsidRPr="00993B3E">
              <w:rPr>
                <w:rFonts w:ascii="Verdana" w:eastAsia="宋体" w:hAnsi="Verdana" w:cs="宋体"/>
                <w:sz w:val="18"/>
                <w:szCs w:val="18"/>
              </w:rPr>
              <w:t>96</w:t>
            </w:r>
          </w:p>
        </w:tc>
      </w:tr>
    </w:tbl>
    <w:p w:rsidR="00993B3E" w:rsidRDefault="00993B3E" w:rsidP="00993B3E">
      <w:pPr>
        <w:spacing w:line="220" w:lineRule="atLeast"/>
      </w:pPr>
    </w:p>
    <w:p w:rsidR="00993B3E" w:rsidRDefault="00993B3E" w:rsidP="00993B3E">
      <w:pPr>
        <w:spacing w:line="220" w:lineRule="atLeast"/>
      </w:pPr>
    </w:p>
    <w:p w:rsidR="004358AB" w:rsidRDefault="00993B3E" w:rsidP="00993B3E">
      <w:pPr>
        <w:spacing w:line="220" w:lineRule="atLeast"/>
      </w:pPr>
      <w:r>
        <w:t>8.We can supply you with high quality 410 stainless steel worldwide – to receive a competitive quotation please  contact us.</w:t>
      </w:r>
      <w:r w:rsidR="00195891">
        <w:rPr>
          <w:rFonts w:hint="eastAsia"/>
        </w:rPr>
        <w:t>s</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195891"/>
    <w:rsid w:val="00323B43"/>
    <w:rsid w:val="003D37D8"/>
    <w:rsid w:val="00426133"/>
    <w:rsid w:val="004358AB"/>
    <w:rsid w:val="008B7726"/>
    <w:rsid w:val="00993B3E"/>
    <w:rsid w:val="009D61B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2995683">
      <w:bodyDiv w:val="1"/>
      <w:marLeft w:val="0"/>
      <w:marRight w:val="0"/>
      <w:marTop w:val="0"/>
      <w:marBottom w:val="0"/>
      <w:divBdr>
        <w:top w:val="none" w:sz="0" w:space="0" w:color="auto"/>
        <w:left w:val="none" w:sz="0" w:space="0" w:color="auto"/>
        <w:bottom w:val="none" w:sz="0" w:space="0" w:color="auto"/>
        <w:right w:val="none" w:sz="0" w:space="0" w:color="auto"/>
      </w:divBdr>
    </w:div>
    <w:div w:id="18051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2015-11-27T03:03:00Z</dcterms:modified>
</cp:coreProperties>
</file>