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A1" w:rsidRPr="002852A1" w:rsidRDefault="002852A1" w:rsidP="002852A1">
      <w:r w:rsidRPr="002852A1">
        <w:t xml:space="preserve">MAS500 AR Abrasion Resistant Steel (500 </w:t>
      </w:r>
      <w:proofErr w:type="spellStart"/>
      <w:r w:rsidRPr="002852A1">
        <w:t>Brinell</w:t>
      </w:r>
      <w:proofErr w:type="spellEnd"/>
      <w:r w:rsidRPr="002852A1">
        <w:t>)</w:t>
      </w:r>
    </w:p>
    <w:p w:rsidR="002852A1" w:rsidRPr="002852A1" w:rsidRDefault="002852A1" w:rsidP="002852A1"/>
    <w:p w:rsidR="002852A1" w:rsidRPr="002852A1" w:rsidRDefault="002852A1" w:rsidP="002852A1">
      <w:r w:rsidRPr="002852A1">
        <w:t>1.High Strength Low Alloy Steel</w:t>
      </w:r>
    </w:p>
    <w:p w:rsidR="002852A1" w:rsidRPr="002852A1" w:rsidRDefault="002852A1" w:rsidP="002852A1">
      <w:r w:rsidRPr="002852A1">
        <w:t>Abrasion Resistant Steel</w:t>
      </w:r>
    </w:p>
    <w:p w:rsidR="002852A1" w:rsidRPr="002852A1" w:rsidRDefault="002852A1" w:rsidP="002852A1">
      <w:r w:rsidRPr="002852A1">
        <w:t>MAS300 AR | MAS400 AR | MAS450 AR | MAS500 AR</w:t>
      </w:r>
    </w:p>
    <w:p w:rsidR="002852A1" w:rsidRPr="002852A1" w:rsidRDefault="002852A1" w:rsidP="002852A1"/>
    <w:p w:rsidR="002852A1" w:rsidRPr="002852A1" w:rsidRDefault="002852A1" w:rsidP="002852A1">
      <w:r w:rsidRPr="002852A1">
        <w:t xml:space="preserve">2.MAS500 AR – </w:t>
      </w:r>
      <w:proofErr w:type="spellStart"/>
      <w:r w:rsidRPr="002852A1">
        <w:t>Our's</w:t>
      </w:r>
      <w:proofErr w:type="spellEnd"/>
      <w:r w:rsidRPr="002852A1">
        <w:t xml:space="preserve"> designation for 500 </w:t>
      </w:r>
      <w:proofErr w:type="spellStart"/>
      <w:r w:rsidRPr="002852A1">
        <w:t>brinell</w:t>
      </w:r>
      <w:proofErr w:type="spellEnd"/>
      <w:r w:rsidRPr="002852A1">
        <w:t xml:space="preserve"> hardness abrasion resistant steel. MAS500 AR is a 500 </w:t>
      </w:r>
      <w:proofErr w:type="spellStart"/>
      <w:r w:rsidRPr="002852A1">
        <w:t>brinell</w:t>
      </w:r>
      <w:proofErr w:type="spellEnd"/>
      <w:r w:rsidRPr="002852A1">
        <w:t xml:space="preserve"> grade steel which is ideal for heavy wear applications commonly found in the mining and earth moving industry. </w:t>
      </w:r>
    </w:p>
    <w:p w:rsidR="002852A1" w:rsidRPr="002852A1" w:rsidRDefault="002852A1" w:rsidP="002852A1"/>
    <w:p w:rsidR="002852A1" w:rsidRPr="002852A1" w:rsidRDefault="002852A1" w:rsidP="002852A1">
      <w:r w:rsidRPr="002852A1">
        <w:t xml:space="preserve">3.The material has excellent tensile strength and hardness, </w:t>
      </w:r>
      <w:proofErr w:type="spellStart"/>
      <w:r w:rsidRPr="002852A1">
        <w:t>infact</w:t>
      </w:r>
      <w:proofErr w:type="spellEnd"/>
      <w:r w:rsidRPr="002852A1">
        <w:t xml:space="preserve"> MAS500 AR has 3 times the hardness of S355 structural steel. The steel has a </w:t>
      </w:r>
      <w:proofErr w:type="spellStart"/>
      <w:r w:rsidRPr="002852A1">
        <w:t>martensitic</w:t>
      </w:r>
      <w:proofErr w:type="spellEnd"/>
      <w:r w:rsidRPr="002852A1">
        <w:t xml:space="preserve"> micro-structure and whilst heat treatment is not an option (since this would reduce the materials strength and abrasive qualities), MAS500 AR is easy to weld using conventional methods and has good formability. </w:t>
      </w:r>
    </w:p>
    <w:p w:rsidR="002852A1" w:rsidRPr="002852A1" w:rsidRDefault="002852A1" w:rsidP="002852A1"/>
    <w:p w:rsidR="002852A1" w:rsidRPr="002852A1" w:rsidRDefault="002852A1" w:rsidP="002852A1">
      <w:r w:rsidRPr="002852A1">
        <w:t xml:space="preserve">4.The material is referred to as a 500 </w:t>
      </w:r>
      <w:proofErr w:type="spellStart"/>
      <w:r w:rsidRPr="002852A1">
        <w:t>brinell</w:t>
      </w:r>
      <w:proofErr w:type="spellEnd"/>
      <w:r w:rsidRPr="002852A1">
        <w:t xml:space="preserve"> hardness steel – the actual hardness range values for this grade relating to thickness are listed below: </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250"/>
        <w:gridCol w:w="1372"/>
        <w:gridCol w:w="1687"/>
        <w:gridCol w:w="2432"/>
      </w:tblGrid>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Grade</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Product</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Thickness (mm)</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Hardness Range (HBW)</w:t>
            </w:r>
          </w:p>
        </w:tc>
      </w:tr>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MAS500 AR</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Cut Lengths</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4.0 – 5.5</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450 – 540</w:t>
            </w:r>
          </w:p>
        </w:tc>
      </w:tr>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MAS500 AR</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Heavy Plates</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5 – 60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450 – 540</w:t>
            </w:r>
          </w:p>
        </w:tc>
      </w:tr>
    </w:tbl>
    <w:p w:rsidR="002852A1" w:rsidRPr="002852A1" w:rsidRDefault="002852A1" w:rsidP="002852A1">
      <w:pPr>
        <w:rPr>
          <w:rFonts w:hint="eastAsia"/>
        </w:rPr>
      </w:pPr>
      <w:r w:rsidRPr="002852A1">
        <w:t>We can supply MAS500 AR from stock for distribution to our clients worldwide. Please refer to the chemical and mechanical properties below:</w:t>
      </w:r>
    </w:p>
    <w:p w:rsidR="002852A1" w:rsidRPr="002852A1" w:rsidRDefault="002852A1" w:rsidP="002852A1">
      <w:r w:rsidRPr="002852A1">
        <w:rPr>
          <w:rFonts w:hint="eastAsia"/>
        </w:rPr>
        <w:t>5.</w:t>
      </w:r>
      <w:r w:rsidRPr="002852A1">
        <w:t>Chemical Composition</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332"/>
        <w:gridCol w:w="587"/>
        <w:gridCol w:w="458"/>
        <w:gridCol w:w="587"/>
        <w:gridCol w:w="715"/>
        <w:gridCol w:w="715"/>
        <w:gridCol w:w="587"/>
        <w:gridCol w:w="587"/>
        <w:gridCol w:w="458"/>
        <w:gridCol w:w="715"/>
      </w:tblGrid>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Grade</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C</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Si</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proofErr w:type="spellStart"/>
            <w:r w:rsidRPr="002852A1">
              <w:t>Mn</w:t>
            </w:r>
            <w:proofErr w:type="spellEnd"/>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P</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S</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Cr</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Ni</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Mo</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B</w:t>
            </w:r>
          </w:p>
        </w:tc>
      </w:tr>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MAS500 AR</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0.30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0.7</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1.70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0.025</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0.015</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1.00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0.70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0.5</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0.005</w:t>
            </w:r>
          </w:p>
        </w:tc>
      </w:tr>
    </w:tbl>
    <w:p w:rsidR="002852A1" w:rsidRPr="002852A1" w:rsidRDefault="002852A1" w:rsidP="002852A1">
      <w:r w:rsidRPr="002852A1">
        <w:t xml:space="preserve">Content % max unless otherwise stated. </w:t>
      </w:r>
      <w:proofErr w:type="spellStart"/>
      <w:r w:rsidRPr="002852A1">
        <w:t>Aluminium</w:t>
      </w:r>
      <w:proofErr w:type="spellEnd"/>
      <w:r w:rsidRPr="002852A1">
        <w:t xml:space="preserve"> and can titanium additionally used as a micro-alloy material. </w:t>
      </w:r>
    </w:p>
    <w:p w:rsidR="002852A1" w:rsidRPr="002852A1" w:rsidRDefault="002852A1" w:rsidP="002852A1">
      <w:r w:rsidRPr="002852A1">
        <w:t>6.Mechanical Properties</w:t>
      </w:r>
    </w:p>
    <w:tbl>
      <w:tblPr>
        <w:tblW w:w="4153"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167"/>
        <w:gridCol w:w="1367"/>
        <w:gridCol w:w="1536"/>
        <w:gridCol w:w="1139"/>
        <w:gridCol w:w="1790"/>
      </w:tblGrid>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Grade</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Yield Strength</w:t>
            </w:r>
            <w:r w:rsidRPr="002852A1">
              <w:br/>
            </w:r>
            <w:proofErr w:type="spellStart"/>
            <w:r w:rsidRPr="002852A1">
              <w:t>MPa</w:t>
            </w:r>
            <w:proofErr w:type="spellEnd"/>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Tensile Strength</w:t>
            </w:r>
            <w:r w:rsidRPr="002852A1">
              <w:br/>
            </w:r>
            <w:proofErr w:type="spellStart"/>
            <w:r w:rsidRPr="002852A1">
              <w:t>MPa</w:t>
            </w:r>
            <w:proofErr w:type="spellEnd"/>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Elongation</w:t>
            </w:r>
            <w:r w:rsidRPr="002852A1">
              <w:br/>
              <w:t>A</w:t>
            </w:r>
          </w:p>
        </w:tc>
        <w:tc>
          <w:tcPr>
            <w:tcW w:w="1279" w:type="pct"/>
            <w:shd w:val="clear" w:color="auto" w:fill="FFFFFF" w:themeFill="background1"/>
            <w:tcMar>
              <w:top w:w="60" w:type="dxa"/>
              <w:left w:w="60" w:type="dxa"/>
              <w:bottom w:w="60" w:type="dxa"/>
              <w:right w:w="60" w:type="dxa"/>
            </w:tcMar>
            <w:hideMark/>
          </w:tcPr>
          <w:p w:rsidR="002852A1" w:rsidRPr="002852A1" w:rsidRDefault="002852A1" w:rsidP="002852A1">
            <w:r w:rsidRPr="002852A1">
              <w:t>Impact Strength</w:t>
            </w:r>
            <w:r w:rsidRPr="002852A1">
              <w:br/>
            </w:r>
            <w:proofErr w:type="spellStart"/>
            <w:r w:rsidRPr="002852A1">
              <w:t>Charpy</w:t>
            </w:r>
            <w:proofErr w:type="spellEnd"/>
            <w:r w:rsidRPr="002852A1">
              <w:t xml:space="preserve"> V 20 J</w:t>
            </w:r>
          </w:p>
        </w:tc>
      </w:tr>
      <w:tr w:rsidR="002852A1" w:rsidRPr="002852A1" w:rsidTr="002852A1">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lastRenderedPageBreak/>
              <w:t>MAS500 AR</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1250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1450</w:t>
            </w:r>
          </w:p>
        </w:tc>
        <w:tc>
          <w:tcPr>
            <w:tcW w:w="0" w:type="auto"/>
            <w:shd w:val="clear" w:color="auto" w:fill="FFFFFF" w:themeFill="background1"/>
            <w:tcMar>
              <w:top w:w="60" w:type="dxa"/>
              <w:left w:w="60" w:type="dxa"/>
              <w:bottom w:w="60" w:type="dxa"/>
              <w:right w:w="60" w:type="dxa"/>
            </w:tcMar>
            <w:hideMark/>
          </w:tcPr>
          <w:p w:rsidR="002852A1" w:rsidRPr="002852A1" w:rsidRDefault="002852A1" w:rsidP="002852A1">
            <w:r w:rsidRPr="002852A1">
              <w:t>8</w:t>
            </w:r>
          </w:p>
        </w:tc>
        <w:tc>
          <w:tcPr>
            <w:tcW w:w="1279" w:type="pct"/>
            <w:shd w:val="clear" w:color="auto" w:fill="FFFFFF" w:themeFill="background1"/>
            <w:tcMar>
              <w:top w:w="60" w:type="dxa"/>
              <w:left w:w="60" w:type="dxa"/>
              <w:bottom w:w="60" w:type="dxa"/>
              <w:right w:w="60" w:type="dxa"/>
            </w:tcMar>
            <w:hideMark/>
          </w:tcPr>
          <w:p w:rsidR="002852A1" w:rsidRPr="002852A1" w:rsidRDefault="002852A1" w:rsidP="002852A1">
            <w:r w:rsidRPr="002852A1">
              <w:t>-30°C</w:t>
            </w:r>
          </w:p>
        </w:tc>
      </w:tr>
    </w:tbl>
    <w:p w:rsidR="002852A1" w:rsidRPr="002852A1" w:rsidRDefault="002852A1" w:rsidP="002852A1">
      <w:r w:rsidRPr="002852A1">
        <w:t xml:space="preserve">Typical values based on 20mm plate thickness </w:t>
      </w:r>
    </w:p>
    <w:p w:rsidR="002852A1" w:rsidRPr="002852A1" w:rsidRDefault="002852A1" w:rsidP="002852A1">
      <w:r w:rsidRPr="002852A1">
        <w:t xml:space="preserve">(Please note: the technical information above is for guidance only – for exact specifications please check with our Sales Team) </w:t>
      </w:r>
    </w:p>
    <w:p w:rsidR="002852A1" w:rsidRPr="002852A1" w:rsidRDefault="002852A1" w:rsidP="002852A1"/>
    <w:p w:rsidR="004358AB" w:rsidRPr="002852A1" w:rsidRDefault="002852A1" w:rsidP="002852A1">
      <w:r w:rsidRPr="002852A1">
        <w:t>7.For information about MAS500 AR abrasion resistant steel or to receive a competitive and detailed quotation please contact us.</w:t>
      </w:r>
    </w:p>
    <w:sectPr w:rsidR="004358AB" w:rsidRPr="002852A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852A1"/>
    <w:rsid w:val="0028690C"/>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45885">
      <w:bodyDiv w:val="1"/>
      <w:marLeft w:val="0"/>
      <w:marRight w:val="0"/>
      <w:marTop w:val="0"/>
      <w:marBottom w:val="0"/>
      <w:divBdr>
        <w:top w:val="none" w:sz="0" w:space="0" w:color="auto"/>
        <w:left w:val="none" w:sz="0" w:space="0" w:color="auto"/>
        <w:bottom w:val="none" w:sz="0" w:space="0" w:color="auto"/>
        <w:right w:val="none" w:sz="0" w:space="0" w:color="auto"/>
      </w:divBdr>
    </w:div>
    <w:div w:id="320500634">
      <w:bodyDiv w:val="1"/>
      <w:marLeft w:val="0"/>
      <w:marRight w:val="0"/>
      <w:marTop w:val="0"/>
      <w:marBottom w:val="0"/>
      <w:divBdr>
        <w:top w:val="none" w:sz="0" w:space="0" w:color="auto"/>
        <w:left w:val="none" w:sz="0" w:space="0" w:color="auto"/>
        <w:bottom w:val="none" w:sz="0" w:space="0" w:color="auto"/>
        <w:right w:val="none" w:sz="0" w:space="0" w:color="auto"/>
      </w:divBdr>
    </w:div>
    <w:div w:id="6703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2015-11-27T05:55:00Z</dcterms:modified>
</cp:coreProperties>
</file>