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8" w:rsidRDefault="00E715B4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ASTM A537 Class 2</w:t>
      </w:r>
      <w:r w:rsidR="006C0D38" w:rsidRPr="006C0D38">
        <w:rPr>
          <w:rFonts w:asciiTheme="minorHAnsi" w:hAnsiTheme="minorHAnsi"/>
          <w:sz w:val="24"/>
          <w:szCs w:val="24"/>
        </w:rPr>
        <w:t xml:space="preserve"> carbon steel plates</w:t>
      </w:r>
    </w:p>
    <w:p w:rsid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1.Pressure Vessel Steel Home Page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ASTM A537</w:t>
      </w:r>
    </w:p>
    <w:p w:rsidR="006C0D38" w:rsidRPr="006C0D38" w:rsidRDefault="00E715B4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ASTM A537 Class </w:t>
      </w:r>
      <w:r>
        <w:rPr>
          <w:rFonts w:asciiTheme="minorHAnsi" w:hAnsiTheme="minorHAnsi" w:hint="eastAsia"/>
          <w:sz w:val="24"/>
          <w:szCs w:val="24"/>
        </w:rPr>
        <w:t>1</w:t>
      </w:r>
      <w:r w:rsidR="006C0D38" w:rsidRPr="006C0D38">
        <w:rPr>
          <w:rFonts w:asciiTheme="minorHAnsi" w:hAnsiTheme="minorHAnsi"/>
          <w:sz w:val="24"/>
          <w:szCs w:val="24"/>
        </w:rPr>
        <w:t xml:space="preserve"> | ASTM A537 Class 2</w:t>
      </w:r>
    </w:p>
    <w:p w:rsid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2.</w:t>
      </w:r>
      <w:r w:rsidR="00E715B4">
        <w:rPr>
          <w:rFonts w:asciiTheme="minorHAnsi" w:hAnsiTheme="minorHAnsi"/>
          <w:sz w:val="24"/>
          <w:szCs w:val="24"/>
        </w:rPr>
        <w:t>ASTM A537 Class 2</w:t>
      </w:r>
      <w:r w:rsidRPr="006C0D38">
        <w:rPr>
          <w:rFonts w:asciiTheme="minorHAnsi" w:hAnsiTheme="minorHAnsi"/>
          <w:sz w:val="24"/>
          <w:szCs w:val="24"/>
        </w:rPr>
        <w:t xml:space="preserve"> steel plates for </w:t>
      </w:r>
      <w:r w:rsidR="00E715B4" w:rsidRPr="006C0D38">
        <w:rPr>
          <w:rFonts w:asciiTheme="minorHAnsi" w:hAnsiTheme="minorHAnsi"/>
          <w:sz w:val="24"/>
          <w:szCs w:val="24"/>
        </w:rPr>
        <w:t>pressurized</w:t>
      </w:r>
      <w:r w:rsidRPr="006C0D38">
        <w:rPr>
          <w:rFonts w:asciiTheme="minorHAnsi" w:hAnsiTheme="minorHAnsi"/>
          <w:sz w:val="24"/>
          <w:szCs w:val="24"/>
        </w:rPr>
        <w:t xml:space="preserve"> service. </w:t>
      </w:r>
      <w:r w:rsidR="00E715B4">
        <w:rPr>
          <w:rFonts w:asciiTheme="minorHAnsi" w:hAnsiTheme="minorHAnsi"/>
          <w:sz w:val="24"/>
          <w:szCs w:val="24"/>
        </w:rPr>
        <w:t>ASTM A537 Class 2</w:t>
      </w:r>
      <w:r w:rsidRPr="006C0D38">
        <w:rPr>
          <w:rFonts w:asciiTheme="minorHAnsi" w:hAnsiTheme="minorHAnsi"/>
          <w:sz w:val="24"/>
          <w:szCs w:val="24"/>
        </w:rPr>
        <w:t xml:space="preserve"> carbon steel plates are engineered to be used in pressure vessel applications. The material is a </w:t>
      </w:r>
      <w:r w:rsidR="00E715B4" w:rsidRPr="006C0D38">
        <w:rPr>
          <w:rFonts w:asciiTheme="minorHAnsi" w:hAnsiTheme="minorHAnsi"/>
          <w:sz w:val="24"/>
          <w:szCs w:val="24"/>
        </w:rPr>
        <w:t>normalized</w:t>
      </w:r>
      <w:r w:rsidRPr="006C0D38">
        <w:rPr>
          <w:rFonts w:asciiTheme="minorHAnsi" w:hAnsiTheme="minorHAnsi"/>
          <w:sz w:val="24"/>
          <w:szCs w:val="24"/>
        </w:rPr>
        <w:t xml:space="preserve"> steel which is heat treated and as a consequence displays greater yield and tensile strength than the more standard ASTM A516 grades. The steel is ideal for use in </w:t>
      </w:r>
      <w:r w:rsidR="00E715B4" w:rsidRPr="006C0D38">
        <w:rPr>
          <w:rFonts w:asciiTheme="minorHAnsi" w:hAnsiTheme="minorHAnsi"/>
          <w:sz w:val="24"/>
          <w:szCs w:val="24"/>
        </w:rPr>
        <w:t>pressurized</w:t>
      </w:r>
      <w:r w:rsidRPr="006C0D38">
        <w:rPr>
          <w:rFonts w:asciiTheme="minorHAnsi" w:hAnsiTheme="minorHAnsi"/>
          <w:sz w:val="24"/>
          <w:szCs w:val="24"/>
        </w:rPr>
        <w:t xml:space="preserve"> service both in boilers and pressure vessels and We Limited supplies A537 Class 1 plates to the world's leading fabricators who in turn serve the Oil, Gas and Petrochemical industry. </w:t>
      </w:r>
    </w:p>
    <w:p w:rsid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 xml:space="preserve">3.We can supply </w:t>
      </w:r>
      <w:r w:rsidR="00E715B4">
        <w:rPr>
          <w:rFonts w:asciiTheme="minorHAnsi" w:hAnsiTheme="minorHAnsi"/>
          <w:sz w:val="24"/>
          <w:szCs w:val="24"/>
        </w:rPr>
        <w:t>ASTM A537 Class 2</w:t>
      </w:r>
      <w:r w:rsidRPr="006C0D38">
        <w:rPr>
          <w:rFonts w:asciiTheme="minorHAnsi" w:hAnsiTheme="minorHAnsi"/>
          <w:sz w:val="24"/>
          <w:szCs w:val="24"/>
        </w:rPr>
        <w:t xml:space="preserve"> plates from stock or directly from the mill. We also offer an in house profiling service where the material can be cut to the size or shape you require. 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 xml:space="preserve">4.For more information please refer to the technical specifications below: 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Chemical Composition (max unless stated)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546"/>
        <w:gridCol w:w="1064"/>
        <w:gridCol w:w="1064"/>
        <w:gridCol w:w="1064"/>
        <w:gridCol w:w="668"/>
        <w:gridCol w:w="668"/>
        <w:gridCol w:w="546"/>
        <w:gridCol w:w="546"/>
        <w:gridCol w:w="546"/>
        <w:gridCol w:w="546"/>
      </w:tblGrid>
      <w:tr w:rsidR="006C0D38" w:rsidRPr="006C0D38" w:rsidTr="006C0D3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C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Si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proofErr w:type="spellStart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P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S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Cr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Ni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Cu</w:t>
            </w:r>
          </w:p>
        </w:tc>
      </w:tr>
      <w:tr w:rsidR="006C0D38" w:rsidRPr="006C0D38" w:rsidTr="006C0D3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≤ 40 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&gt; 40 mm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</w:tr>
      <w:tr w:rsidR="006C0D38" w:rsidRPr="006C0D38" w:rsidTr="006C0D3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 xml:space="preserve">A537 Class </w:t>
            </w:r>
            <w:r w:rsidR="00E715B4">
              <w:rPr>
                <w:rFonts w:asciiTheme="minorHAnsi" w:eastAsia="宋体" w:hAnsiTheme="minorHAnsi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0.15/0.50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0.70/1.35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1.00/1.60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0.35</w:t>
            </w:r>
          </w:p>
        </w:tc>
      </w:tr>
    </w:tbl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5.Mechanical Properties (min unless stated)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1307"/>
        <w:gridCol w:w="1533"/>
        <w:gridCol w:w="937"/>
        <w:gridCol w:w="1066"/>
        <w:gridCol w:w="1324"/>
      </w:tblGrid>
      <w:tr w:rsidR="006C0D38" w:rsidRPr="006C0D38" w:rsidTr="006C0D3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Yield (</w:t>
            </w:r>
            <w:proofErr w:type="spellStart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MPa</w:t>
            </w:r>
            <w:proofErr w:type="spellEnd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Tensile (</w:t>
            </w:r>
            <w:proofErr w:type="spellStart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MPa</w:t>
            </w:r>
            <w:proofErr w:type="spellEnd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Elongation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Thickness</w:t>
            </w:r>
          </w:p>
        </w:tc>
      </w:tr>
      <w:tr w:rsidR="006C0D38" w:rsidRPr="006C0D38" w:rsidTr="006C0D3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A50mm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A200mm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</w:tr>
      <w:tr w:rsidR="006C0D38" w:rsidRPr="006C0D38" w:rsidTr="006C0D3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 xml:space="preserve">A537 Class </w:t>
            </w:r>
            <w:r w:rsidR="00E715B4">
              <w:rPr>
                <w:rFonts w:asciiTheme="minorHAnsi" w:eastAsia="宋体" w:hAnsiTheme="minorHAnsi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E715B4" w:rsidP="00E715B4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550/690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 xml:space="preserve">    -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≤ 65</w:t>
            </w:r>
          </w:p>
        </w:tc>
      </w:tr>
      <w:tr w:rsidR="00E715B4" w:rsidRPr="006C0D38" w:rsidTr="00E715B4">
        <w:trPr>
          <w:trHeight w:val="25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15B4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B4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B4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515/655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B4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B4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B4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&gt;65&lt;=100</w:t>
            </w:r>
          </w:p>
        </w:tc>
      </w:tr>
      <w:tr w:rsidR="006C0D38" w:rsidRPr="006C0D38" w:rsidTr="006C0D3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31</w:t>
            </w:r>
            <w:r w:rsidR="00E715B4">
              <w:rPr>
                <w:rFonts w:asciiTheme="minorHAnsi" w:eastAsia="宋体" w:hAnsiTheme="minorHAnsi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485/620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E715B4" w:rsidP="00E715B4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E715B4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>
              <w:rPr>
                <w:rFonts w:asciiTheme="minorHAnsi" w:eastAsia="宋体" w:hAnsiTheme="minorHAnsi" w:cs="宋体"/>
                <w:sz w:val="24"/>
                <w:szCs w:val="24"/>
              </w:rPr>
              <w:t xml:space="preserve">&gt; </w:t>
            </w: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100</w:t>
            </w:r>
            <w:r w:rsidR="006C0D38" w:rsidRPr="006C0D38">
              <w:rPr>
                <w:rFonts w:asciiTheme="minorHAnsi" w:eastAsia="宋体" w:hAnsiTheme="minorHAnsi" w:cs="宋体"/>
                <w:sz w:val="24"/>
                <w:szCs w:val="24"/>
              </w:rPr>
              <w:t xml:space="preserve"> ≤ 1</w:t>
            </w:r>
            <w:r>
              <w:rPr>
                <w:rFonts w:asciiTheme="minorHAnsi" w:eastAsia="宋体" w:hAnsiTheme="minorHAnsi" w:cs="宋体" w:hint="eastAsia"/>
                <w:sz w:val="24"/>
                <w:szCs w:val="24"/>
              </w:rPr>
              <w:t>50</w:t>
            </w:r>
          </w:p>
        </w:tc>
      </w:tr>
    </w:tbl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(Please note: the technical information above is for guidance only – for exact specifications please check with our Sales Team)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4358AB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 xml:space="preserve">6.For more information about </w:t>
      </w:r>
      <w:r w:rsidR="00E715B4">
        <w:rPr>
          <w:rFonts w:asciiTheme="minorHAnsi" w:hAnsiTheme="minorHAnsi"/>
          <w:sz w:val="24"/>
          <w:szCs w:val="24"/>
        </w:rPr>
        <w:t>ASTM A537 Class 2</w:t>
      </w:r>
      <w:r w:rsidRPr="006C0D38">
        <w:rPr>
          <w:rFonts w:asciiTheme="minorHAnsi" w:hAnsiTheme="minorHAnsi"/>
          <w:sz w:val="24"/>
          <w:szCs w:val="24"/>
        </w:rPr>
        <w:t xml:space="preserve"> carbon steel plates and to receive a detailed and competitive quotation, please contact us.</w:t>
      </w:r>
      <w:r w:rsidRPr="006C0D38">
        <w:rPr>
          <w:rFonts w:asciiTheme="minorHAnsi" w:hAnsiTheme="minorHAnsi"/>
          <w:sz w:val="24"/>
          <w:szCs w:val="24"/>
        </w:rPr>
        <w:tab/>
      </w:r>
    </w:p>
    <w:sectPr w:rsidR="004358AB" w:rsidRPr="006C0D3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C0D38"/>
    <w:rsid w:val="007039D8"/>
    <w:rsid w:val="008B7726"/>
    <w:rsid w:val="00CE2A8C"/>
    <w:rsid w:val="00D31D50"/>
    <w:rsid w:val="00E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2015-11-26T06:21:00Z</dcterms:modified>
</cp:coreProperties>
</file>